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Betreff: Schadenanzeige – verdeckter Transportschaden / Sendung [Sendungsnr.] – Bitte um Bestätigung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Sehr geehrte Damen und Herren,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hiermit zeigen wir einen verdeckten Transportschaden an.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Sendungsdaten: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Sendungsnummer / Referenz: [..]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Abholort / Lieferort: [..] / [..]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Ablieferdatum und Uhrzeit: [..]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Anzahl Packstücke (Packages): [..] (intern geführt als: colli transport)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Art der Verpackung: [z. B. Karton/Palette/Sonderverpackung] (Hinweis: colli verpackung)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Schadensfeststellung: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Schaden erst später bemerkt am: [Datum/Uhrzeit] (beim Auspacken)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Beschreibung des Schadens: [konkret, kurz, messbar]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Betroffene Packstücke: [Packstücknr./Labels]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Wir bitten um schriftliche Bestätigung des Eingangs und um Information zum weiteren Vorgehen (Besichtigung/Regulierung).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Anlagen: Fotos (Gesamt + Label + Detail), ggf. Unboxing-Video, Lieferschein/CMR, Rechnung/Warenwert, Wareneingangsprotokoll.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Mit freundlichen Grüßen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[Name / Firma / Kontaktdaten]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